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B8860B"/>
          <w:sz w:val="16"/>
          <w:szCs w:val="16"/>
          <w:rFonts w:ascii="Calibri" w:cs="Calibri" w:eastAsia="Calibri" w:hAnsi="Calibri"/>
        </w:rPr>
        <w:t xml:space="preserve">COVER LETTER EXAMPLE</w:t>
      </w:r>
    </w:p>
    <w:p>
      <w:pPr>
        <w:pBdr>
          <w:bottom w:val="single" w:color="0F2044" w:sz="12" w:space="8"/>
        </w:pBdr>
        <w:spacing w:after="300"/>
      </w:pPr>
      <w:r>
        <w:rPr>
          <w:b/>
          <w:bCs/>
          <w:color w:val="0F2044"/>
          <w:sz w:val="30"/>
          <w:szCs w:val="30"/>
          <w:rFonts w:ascii="Georgia" w:cs="Georgia" w:eastAsia="Georgia" w:hAnsi="Georgia"/>
        </w:rPr>
        <w:t xml:space="preserve">Career Change: Teacher → UX Researcher</w:t>
      </w:r>
    </w:p>
    <w:p>
      <w:pPr>
        <w:spacing w:after="200" w:line="300"/>
      </w:pPr>
      <w:r>
        <w:rPr>
          <w:i w:val="false"/>
          <w:iCs w:val="false"/>
          <w:color w:val="2A2F38"/>
          <w:sz w:val="22"/>
          <w:szCs w:val="22"/>
          <w:rFonts w:ascii="Calibri" w:cs="Calibri" w:eastAsia="Calibri" w:hAnsi="Calibri"/>
        </w:rPr>
        <w:t xml:space="preserve">Dear Ms. Alvarez,</w:t>
      </w:r>
    </w:p>
    <w:p>
      <w:pPr>
        <w:spacing w:after="200" w:line="300"/>
      </w:pPr>
      <w:r>
        <w:rPr>
          <w:i w:val="false"/>
          <w:iCs w:val="false"/>
          <w:color w:val="2A2F38"/>
          <w:sz w:val="22"/>
          <w:szCs w:val="22"/>
          <w:rFonts w:ascii="Calibri" w:cs="Calibri" w:eastAsia="Calibri" w:hAnsi="Calibri"/>
        </w:rPr>
        <w:t xml:space="preserve">Every good teacher is running an experiment — they just never call it one.</w:t>
      </w:r>
    </w:p>
    <w:p>
      <w:pPr>
        <w:spacing w:after="200" w:line="300"/>
      </w:pPr>
      <w:r>
        <w:rPr>
          <w:i w:val="false"/>
          <w:iCs w:val="false"/>
          <w:color w:val="2A2F38"/>
          <w:sz w:val="22"/>
          <w:szCs w:val="22"/>
          <w:rFonts w:ascii="Calibri" w:cs="Calibri" w:eastAsia="Calibri" w:hAnsi="Calibri"/>
        </w:rPr>
        <w:t xml:space="preserve">For six years I taught high-school biology, and the work I loved was never delivering the content — it was diagnosing </w:t>
      </w:r>
      <w:r>
        <w:rPr>
          <w:i/>
          <w:iCs/>
          <w:color w:val="2A2F38"/>
          <w:sz w:val="22"/>
          <w:szCs w:val="22"/>
          <w:rFonts w:ascii="Calibri" w:cs="Calibri" w:eastAsia="Calibri" w:hAnsi="Calibri"/>
        </w:rPr>
        <w:t xml:space="preserve">why</w:t>
      </w:r>
      <w:r>
        <w:rPr>
          <w:i w:val="false"/>
          <w:iCs w:val="false"/>
          <w:color w:val="2A2F38"/>
          <w:sz w:val="22"/>
          <w:szCs w:val="22"/>
          <w:rFonts w:ascii="Calibri" w:cs="Calibri" w:eastAsia="Calibri" w:hAnsi="Calibri"/>
        </w:rPr>
        <w:t xml:space="preserve"> a concept didn’t land, changing one variable, and watching to see if understanding moved. I’m not hoping that skill transfers to UX research. It’s the same job, wearing a different name.</w:t>
      </w:r>
    </w:p>
    <w:p>
      <w:pPr>
        <w:spacing w:after="200" w:line="300"/>
      </w:pPr>
      <w:r>
        <w:rPr>
          <w:i w:val="false"/>
          <w:iCs w:val="false"/>
          <w:color w:val="2A2F38"/>
          <w:sz w:val="22"/>
          <w:szCs w:val="22"/>
          <w:rFonts w:ascii="Calibri" w:cs="Calibri" w:eastAsia="Calibri" w:hAnsi="Calibri"/>
        </w:rPr>
        <w:t xml:space="preserve">A lesson is a usability test with higher stakes and worse tooling. Thirty times a week I watched the distance between what students said they understood and what their questions and blank pages revealed — the exact gap user research exists to close. I learned to trust behavior over self-report long before I knew the field had a word for it.</w:t>
      </w:r>
    </w:p>
    <w:p>
      <w:pPr>
        <w:spacing w:after="200" w:line="300"/>
      </w:pPr>
      <w:r>
        <w:rPr>
          <w:i w:val="false"/>
          <w:iCs w:val="false"/>
          <w:color w:val="2A2F38"/>
          <w:sz w:val="22"/>
          <w:szCs w:val="22"/>
          <w:rFonts w:ascii="Calibri" w:cs="Calibri" w:eastAsia="Calibri" w:hAnsi="Calibri"/>
        </w:rPr>
        <w:t xml:space="preserve">So I made the move deliberate. I earned Google’s UX certificate, ran three volunteer studies for a local nonprofit, and rebuilt its donation flow around what I found — cutting drop-off by a third. I’m early in this field and I won’t pretend otherwise. But I’m not starting over. I’m arriving with a decade of watching real people struggle with real interfaces, and the stubbornness to keep fixing them until they work.</w:t>
      </w:r>
    </w:p>
    <w:p>
      <w:pPr>
        <w:spacing w:after="200" w:line="300"/>
      </w:pPr>
      <w:r>
        <w:rPr>
          <w:i w:val="false"/>
          <w:iCs w:val="false"/>
          <w:color w:val="2A2F38"/>
          <w:sz w:val="22"/>
          <w:szCs w:val="22"/>
          <w:rFonts w:ascii="Calibri" w:cs="Calibri" w:eastAsia="Calibri" w:hAnsi="Calibri"/>
        </w:rPr>
        <w:t xml:space="preserve">I’d welcome the chance to show you what that looks like.</w:t>
      </w:r>
    </w:p>
    <w:p>
      <w:pPr>
        <w:spacing w:before="120" w:after="0" w:line="300"/>
      </w:pPr>
      <w:r>
        <w:rPr>
          <w:color w:val="2A2F38"/>
          <w:sz w:val="22"/>
          <w:szCs w:val="22"/>
          <w:rFonts w:ascii="Calibri" w:cs="Calibri" w:eastAsia="Calibri" w:hAnsi="Calibri"/>
        </w:rPr>
        <w:t xml:space="preserve">Warmly,</w:t>
      </w:r>
    </w:p>
    <w:p>
      <w:pPr>
        <w:spacing w:after="300" w:line="300"/>
      </w:pPr>
      <w:r>
        <w:rPr>
          <w:b/>
          <w:bCs/>
          <w:color w:val="2A2F38"/>
          <w:sz w:val="22"/>
          <w:szCs w:val="22"/>
          <w:rFonts w:ascii="Calibri" w:cs="Calibri" w:eastAsia="Calibri" w:hAnsi="Calibri"/>
        </w:rPr>
        <w:t xml:space="preserve">Maya Rivera</w:t>
      </w:r>
    </w:p>
    <w:p>
      <w:pPr>
        <w:pBdr>
          <w:top w:val="single" w:color="B8860B" w:sz="12" w:space="10"/>
        </w:pBdr>
        <w:spacing w:before="200" w:after="60"/>
      </w:pPr>
      <w:r>
        <w:rPr>
          <w:b/>
          <w:bCs/>
          <w:color w:val="B8860B"/>
          <w:sz w:val="16"/>
          <w:szCs w:val="16"/>
          <w:rFonts w:ascii="Calibri" w:cs="Calibri" w:eastAsia="Calibri" w:hAnsi="Calibri"/>
        </w:rPr>
        <w:t xml:space="preserve">WHY THIS WORKS</w:t>
      </w:r>
    </w:p>
    <w:p>
      <w:pPr>
        <w:spacing w:after="0" w:line="276"/>
      </w:pPr>
      <w:r>
        <w:rPr>
          <w:i/>
          <w:iCs/>
          <w:color w:val="5B4A28"/>
          <w:sz w:val="20"/>
          <w:szCs w:val="20"/>
          <w:rFonts w:ascii="Calibri" w:cs="Calibri" w:eastAsia="Calibri" w:hAnsi="Calibri"/>
        </w:rPr>
        <w:t xml:space="preserve">It opens with a reframe, not a résumé — “the same job, wearing a different name” — then earns the claim with a concrete result. Memorable by the first line, credible by the last.</w:t>
      </w:r>
    </w:p>
    <w:sectPr>
      <w:pgSz w:w="12240" w:h="15840" w:orient="portrait"/>
      <w:pgMar w:top="1440" w:right="1600" w:bottom="1440" w:left="1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Change: Teacher → UX Researcher</dc:title>
  <dc:creator>PolishedResume.com</dc:creator>
  <cp:lastModifiedBy>Un-named</cp:lastModifiedBy>
  <cp:revision>1</cp:revision>
  <dcterms:created xsi:type="dcterms:W3CDTF">2026-08-18T12:09:46.243Z</dcterms:created>
  <dcterms:modified xsi:type="dcterms:W3CDTF">2026-08-18T12:09:46.243Z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